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720E" w14:textId="77777777" w:rsidR="00B410E7" w:rsidRPr="00B410E7" w:rsidRDefault="00B410E7" w:rsidP="00B410E7">
      <w:r w:rsidRPr="00B410E7">
        <w:rPr>
          <w:b/>
          <w:bCs/>
        </w:rPr>
        <w:t>Development and Validation of the Burn First Responder Mobile Application for Total Body Surface Area Estimation</w:t>
      </w:r>
    </w:p>
    <w:p w14:paraId="4A7E4BEA" w14:textId="77777777" w:rsidR="00B410E7" w:rsidRPr="00B410E7" w:rsidRDefault="00B410E7" w:rsidP="00B410E7">
      <w:r w:rsidRPr="00B410E7">
        <w:rPr>
          <w:b/>
          <w:bCs/>
        </w:rPr>
        <w:t>Background</w:t>
      </w:r>
    </w:p>
    <w:p w14:paraId="6A333F20" w14:textId="77777777" w:rsidR="00B410E7" w:rsidRPr="00B410E7" w:rsidRDefault="00B410E7" w:rsidP="00B410E7">
      <w:r w:rsidRPr="00B410E7">
        <w:t>Accurate estimation of total body surface area (TBSA) is essential in the initial management of burn injuries, particularly for calculating fluid resuscitation requirements and facilitating timely referral to specialist burn centres. Nevertheless, inaccurate TBSA estimation and delayed referral remain common challenges among first responders. The Burn First Responder mobile application was developed as a rapid and user-friendly digital tool for TBSA estimation and burn resuscitation calculations.</w:t>
      </w:r>
    </w:p>
    <w:p w14:paraId="4B0996C6" w14:textId="77777777" w:rsidR="00B410E7" w:rsidRPr="00B410E7" w:rsidRDefault="00B410E7" w:rsidP="00B410E7">
      <w:r w:rsidRPr="00B410E7">
        <w:rPr>
          <w:b/>
          <w:bCs/>
        </w:rPr>
        <w:t>Objective</w:t>
      </w:r>
    </w:p>
    <w:p w14:paraId="49EA1633" w14:textId="77777777" w:rsidR="00B410E7" w:rsidRPr="00B410E7" w:rsidRDefault="00B410E7" w:rsidP="00B410E7">
      <w:r w:rsidRPr="00B410E7">
        <w:t xml:space="preserve">To develop and validate the Burn First Responder mobile application by comparing its TBSA estimates with standardized measurements obtained using </w:t>
      </w:r>
      <w:proofErr w:type="spellStart"/>
      <w:r w:rsidRPr="00B410E7">
        <w:t>Opsite</w:t>
      </w:r>
      <w:proofErr w:type="spellEnd"/>
      <w:r w:rsidRPr="00B410E7">
        <w:t xml:space="preserve"> </w:t>
      </w:r>
      <w:proofErr w:type="spellStart"/>
      <w:r w:rsidRPr="00B410E7">
        <w:t>Flexigrid</w:t>
      </w:r>
      <w:proofErr w:type="spellEnd"/>
      <w:r w:rsidRPr="00B410E7">
        <w:t xml:space="preserve"> and estimates derived from the Lund and Browder chart. The study also compared the time required and ease of use between the mobile application and the Lund and Browder chart.</w:t>
      </w:r>
    </w:p>
    <w:p w14:paraId="34628E6D" w14:textId="77777777" w:rsidR="00B410E7" w:rsidRPr="00B410E7" w:rsidRDefault="00B410E7" w:rsidP="00B410E7">
      <w:r w:rsidRPr="00B410E7">
        <w:rPr>
          <w:b/>
          <w:bCs/>
        </w:rPr>
        <w:t>Methods</w:t>
      </w:r>
    </w:p>
    <w:p w14:paraId="43FEB4A7" w14:textId="401662DB" w:rsidR="00B410E7" w:rsidRPr="00B410E7" w:rsidRDefault="00B410E7" w:rsidP="00B410E7">
      <w:r w:rsidRPr="00B410E7">
        <w:t xml:space="preserve">A comparative validation study was conducted among </w:t>
      </w:r>
      <w:r w:rsidRPr="00B410E7">
        <w:t>58</w:t>
      </w:r>
      <w:r w:rsidRPr="00B410E7">
        <w:t xml:space="preserve"> participants with surgical or emergency medicine backgrounds. Three moulage mannequins were prepared with simulated burn injuries representing 25%, 30%, and 35% TBSA. The reference TBSA for each mannequin was measured using </w:t>
      </w:r>
      <w:proofErr w:type="spellStart"/>
      <w:r w:rsidRPr="00B410E7">
        <w:t>Opsite</w:t>
      </w:r>
      <w:proofErr w:type="spellEnd"/>
      <w:r w:rsidRPr="00B410E7">
        <w:t xml:space="preserve"> </w:t>
      </w:r>
      <w:proofErr w:type="spellStart"/>
      <w:r w:rsidRPr="00B410E7">
        <w:t>Flexigrid</w:t>
      </w:r>
      <w:proofErr w:type="spellEnd"/>
      <w:r w:rsidRPr="00B410E7">
        <w:t>. Participants estimated the TBSA using both the Burn First Responder mobile application and the Lund and Browder chart.</w:t>
      </w:r>
    </w:p>
    <w:p w14:paraId="1D654855" w14:textId="77777777" w:rsidR="00B410E7" w:rsidRPr="00B410E7" w:rsidRDefault="00B410E7" w:rsidP="00B410E7">
      <w:r w:rsidRPr="00B410E7">
        <w:t xml:space="preserve">The TBSA estimates obtained using both assessment methods were compared with the </w:t>
      </w:r>
      <w:proofErr w:type="spellStart"/>
      <w:r w:rsidRPr="00B410E7">
        <w:t>Opsite</w:t>
      </w:r>
      <w:proofErr w:type="spellEnd"/>
      <w:r w:rsidRPr="00B410E7">
        <w:t xml:space="preserve"> </w:t>
      </w:r>
      <w:proofErr w:type="spellStart"/>
      <w:r w:rsidRPr="00B410E7">
        <w:t>Flexigrid</w:t>
      </w:r>
      <w:proofErr w:type="spellEnd"/>
      <w:r w:rsidRPr="00B410E7">
        <w:t xml:space="preserve"> reference measurements. Assessment time was recorded, and ease of use was evaluated using a seven-point Likert scale, ranging from 1 (very easy) to 7 (very difficult). A method requiring less time and receiving a lower ease-of-use score was considered more efficient.</w:t>
      </w:r>
    </w:p>
    <w:p w14:paraId="51949A4D" w14:textId="08437450" w:rsidR="00B410E7" w:rsidRPr="00B410E7" w:rsidRDefault="00B410E7" w:rsidP="00B410E7">
      <w:r w:rsidRPr="00B410E7">
        <w:t>Accuracy was assessed using paired Student’s t-tests, while agreement between the measurement methods was evaluated using the intraclass correlation coefficient. Assessment time and ease-of-use scores were compared using one-way analysis of variance.</w:t>
      </w:r>
    </w:p>
    <w:p w14:paraId="4CF0695E" w14:textId="77777777" w:rsidR="00B410E7" w:rsidRPr="00B410E7" w:rsidRDefault="00B410E7" w:rsidP="00B410E7">
      <w:r w:rsidRPr="00B410E7">
        <w:rPr>
          <w:b/>
          <w:bCs/>
        </w:rPr>
        <w:t>Results</w:t>
      </w:r>
    </w:p>
    <w:p w14:paraId="3E071C7B" w14:textId="77777777" w:rsidR="00B410E7" w:rsidRPr="00B410E7" w:rsidRDefault="00B410E7" w:rsidP="00B410E7">
      <w:r w:rsidRPr="00B410E7">
        <w:t xml:space="preserve">Compared with the </w:t>
      </w:r>
      <w:proofErr w:type="spellStart"/>
      <w:r w:rsidRPr="00B410E7">
        <w:t>Opsite</w:t>
      </w:r>
      <w:proofErr w:type="spellEnd"/>
      <w:r w:rsidRPr="00B410E7">
        <w:t xml:space="preserve"> </w:t>
      </w:r>
      <w:proofErr w:type="spellStart"/>
      <w:r w:rsidRPr="00B410E7">
        <w:t>Flexigrid</w:t>
      </w:r>
      <w:proofErr w:type="spellEnd"/>
      <w:r w:rsidRPr="00B410E7">
        <w:t xml:space="preserve"> reference measurements, TBSA estimates obtained using the Burn First Responder application were significantly lower for the 25% TBSA mannequin (p=0.023) and the 35% TBSA mannequin (p&lt;0.001). No statistically significant difference was observed for the 30% TBSA mannequin (p=0.228).</w:t>
      </w:r>
    </w:p>
    <w:p w14:paraId="31DC72A7" w14:textId="77777777" w:rsidR="00B410E7" w:rsidRPr="00B410E7" w:rsidRDefault="00B410E7" w:rsidP="00B410E7">
      <w:r w:rsidRPr="00B410E7">
        <w:t>When the Burn First Responder application was compared with the Lund and Browder chart, no statistically significant differences were demonstrated in TBSA estimation, assessment time, or ease-of-use scores. Therefore, the application showed performance comparable to the Lund and Browder chart in terms of accuracy, speed, and user-rated ease of use.</w:t>
      </w:r>
    </w:p>
    <w:p w14:paraId="71272D95" w14:textId="77777777" w:rsidR="00B410E7" w:rsidRPr="00B410E7" w:rsidRDefault="00B410E7" w:rsidP="00B410E7">
      <w:r w:rsidRPr="00B410E7">
        <w:rPr>
          <w:b/>
          <w:bCs/>
        </w:rPr>
        <w:t>Conclusion</w:t>
      </w:r>
    </w:p>
    <w:p w14:paraId="070CA0D2" w14:textId="77777777" w:rsidR="00B410E7" w:rsidRPr="00B410E7" w:rsidRDefault="00B410E7" w:rsidP="00B410E7">
      <w:r w:rsidRPr="00B410E7">
        <w:t xml:space="preserve">The Burn First Responder mobile application demonstrated accuracy, speed, and ease of use comparable to the Lund and Browder chart. However, the application tended to underestimate TBSA at selected burn sizes when compared with standardized </w:t>
      </w:r>
      <w:proofErr w:type="spellStart"/>
      <w:r w:rsidRPr="00B410E7">
        <w:t>Opsite</w:t>
      </w:r>
      <w:proofErr w:type="spellEnd"/>
      <w:r w:rsidRPr="00B410E7">
        <w:t xml:space="preserve"> </w:t>
      </w:r>
      <w:proofErr w:type="spellStart"/>
      <w:r w:rsidRPr="00B410E7">
        <w:t>Flexigrid</w:t>
      </w:r>
      <w:proofErr w:type="spellEnd"/>
      <w:r w:rsidRPr="00B410E7">
        <w:t xml:space="preserve"> measurements. Its </w:t>
      </w:r>
      <w:r w:rsidRPr="00B410E7">
        <w:lastRenderedPageBreak/>
        <w:t>superiority over the conventional Lund and Browder chart was not demonstrated in this preliminary validation study.</w:t>
      </w:r>
    </w:p>
    <w:p w14:paraId="0A825D27" w14:textId="77777777" w:rsidR="00B410E7" w:rsidRPr="00B410E7" w:rsidRDefault="00B410E7" w:rsidP="00B410E7">
      <w:r w:rsidRPr="00B410E7">
        <w:t>Further validation involving a larger and more diverse group of first responders, randomized assessment sequences, and patients with actual burn injuries is recommended before widespread clinical implementation.</w:t>
      </w:r>
    </w:p>
    <w:p w14:paraId="463C51DF" w14:textId="77777777" w:rsidR="00B410E7" w:rsidRPr="00B410E7" w:rsidRDefault="00B410E7" w:rsidP="00B410E7">
      <w:r w:rsidRPr="00B410E7">
        <w:rPr>
          <w:b/>
          <w:bCs/>
        </w:rPr>
        <w:t>Keywords:</w:t>
      </w:r>
      <w:r w:rsidRPr="00B410E7">
        <w:t xml:space="preserve"> burn injury; total body surface area; TBSA estimation; mobile application; Lund and Browder chart; digital health; fluid resuscitation</w:t>
      </w:r>
    </w:p>
    <w:p w14:paraId="520ADEED" w14:textId="1EC5257B" w:rsidR="00E820CE" w:rsidRDefault="00E820CE" w:rsidP="00A76B42"/>
    <w:sectPr w:rsidR="00E82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42"/>
    <w:rsid w:val="00190D50"/>
    <w:rsid w:val="006029F4"/>
    <w:rsid w:val="00856820"/>
    <w:rsid w:val="00A76B42"/>
    <w:rsid w:val="00B410E7"/>
    <w:rsid w:val="00E21E7D"/>
    <w:rsid w:val="00E820C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08B3"/>
  <w15:chartTrackingRefBased/>
  <w15:docId w15:val="{83C263FA-E2C2-42EE-BB08-F99F0575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B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6B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6B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6B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6B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6B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B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B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B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B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6B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6B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6B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6B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6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B42"/>
    <w:rPr>
      <w:rFonts w:eastAsiaTheme="majorEastAsia" w:cstheme="majorBidi"/>
      <w:color w:val="272727" w:themeColor="text1" w:themeTint="D8"/>
    </w:rPr>
  </w:style>
  <w:style w:type="paragraph" w:styleId="Title">
    <w:name w:val="Title"/>
    <w:basedOn w:val="Normal"/>
    <w:next w:val="Normal"/>
    <w:link w:val="TitleChar"/>
    <w:uiPriority w:val="10"/>
    <w:qFormat/>
    <w:rsid w:val="00A76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B42"/>
    <w:pPr>
      <w:spacing w:before="160"/>
      <w:jc w:val="center"/>
    </w:pPr>
    <w:rPr>
      <w:i/>
      <w:iCs/>
      <w:color w:val="404040" w:themeColor="text1" w:themeTint="BF"/>
    </w:rPr>
  </w:style>
  <w:style w:type="character" w:customStyle="1" w:styleId="QuoteChar">
    <w:name w:val="Quote Char"/>
    <w:basedOn w:val="DefaultParagraphFont"/>
    <w:link w:val="Quote"/>
    <w:uiPriority w:val="29"/>
    <w:rsid w:val="00A76B42"/>
    <w:rPr>
      <w:i/>
      <w:iCs/>
      <w:color w:val="404040" w:themeColor="text1" w:themeTint="BF"/>
    </w:rPr>
  </w:style>
  <w:style w:type="paragraph" w:styleId="ListParagraph">
    <w:name w:val="List Paragraph"/>
    <w:basedOn w:val="Normal"/>
    <w:uiPriority w:val="34"/>
    <w:qFormat/>
    <w:rsid w:val="00A76B42"/>
    <w:pPr>
      <w:ind w:left="720"/>
      <w:contextualSpacing/>
    </w:pPr>
  </w:style>
  <w:style w:type="character" w:styleId="IntenseEmphasis">
    <w:name w:val="Intense Emphasis"/>
    <w:basedOn w:val="DefaultParagraphFont"/>
    <w:uiPriority w:val="21"/>
    <w:qFormat/>
    <w:rsid w:val="00A76B42"/>
    <w:rPr>
      <w:i/>
      <w:iCs/>
      <w:color w:val="2F5496" w:themeColor="accent1" w:themeShade="BF"/>
    </w:rPr>
  </w:style>
  <w:style w:type="paragraph" w:styleId="IntenseQuote">
    <w:name w:val="Intense Quote"/>
    <w:basedOn w:val="Normal"/>
    <w:next w:val="Normal"/>
    <w:link w:val="IntenseQuoteChar"/>
    <w:uiPriority w:val="30"/>
    <w:qFormat/>
    <w:rsid w:val="00A76B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6B42"/>
    <w:rPr>
      <w:i/>
      <w:iCs/>
      <w:color w:val="2F5496" w:themeColor="accent1" w:themeShade="BF"/>
    </w:rPr>
  </w:style>
  <w:style w:type="character" w:styleId="IntenseReference">
    <w:name w:val="Intense Reference"/>
    <w:basedOn w:val="DefaultParagraphFont"/>
    <w:uiPriority w:val="32"/>
    <w:qFormat/>
    <w:rsid w:val="00A76B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Fatimah M.J</dc:creator>
  <cp:keywords/>
  <dc:description/>
  <cp:lastModifiedBy>Fatimah M.J</cp:lastModifiedBy>
  <cp:revision>1</cp:revision>
  <dcterms:created xsi:type="dcterms:W3CDTF">2026-08-25T08:09:00Z</dcterms:created>
  <dcterms:modified xsi:type="dcterms:W3CDTF">2026-08-25T08:27:00Z</dcterms:modified>
</cp:coreProperties>
</file>